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961" w:rsidRPr="0031118D" w:rsidRDefault="00BD0961" w:rsidP="006A1923">
      <w:pPr>
        <w:ind w:right="2"/>
        <w:jc w:val="right"/>
        <w:rPr>
          <w:rFonts w:eastAsia="HiddenHorzOCR"/>
          <w:sz w:val="28"/>
          <w:szCs w:val="28"/>
        </w:rPr>
      </w:pPr>
      <w:r w:rsidRPr="0031118D">
        <w:rPr>
          <w:rFonts w:eastAsia="HiddenHorzOCR"/>
          <w:sz w:val="28"/>
          <w:szCs w:val="28"/>
        </w:rPr>
        <w:t xml:space="preserve">Приложение </w:t>
      </w:r>
      <w:r w:rsidR="00680F32">
        <w:rPr>
          <w:rFonts w:eastAsia="HiddenHorzOCR"/>
          <w:sz w:val="28"/>
          <w:szCs w:val="28"/>
        </w:rPr>
        <w:t xml:space="preserve">№ </w:t>
      </w:r>
      <w:r>
        <w:rPr>
          <w:rFonts w:eastAsia="HiddenHorzOCR"/>
          <w:sz w:val="28"/>
          <w:szCs w:val="28"/>
        </w:rPr>
        <w:t>3</w:t>
      </w:r>
    </w:p>
    <w:p w:rsidR="00BD0961" w:rsidRPr="0031118D" w:rsidRDefault="00BD0961" w:rsidP="006A1923">
      <w:pPr>
        <w:jc w:val="center"/>
        <w:rPr>
          <w:rFonts w:eastAsia="HiddenHorzOCR"/>
          <w:b/>
          <w:bCs/>
          <w:sz w:val="28"/>
          <w:szCs w:val="28"/>
        </w:rPr>
      </w:pPr>
    </w:p>
    <w:p w:rsidR="00BD0961" w:rsidRPr="0031118D" w:rsidRDefault="00BD0961" w:rsidP="006A1923">
      <w:pPr>
        <w:jc w:val="center"/>
        <w:rPr>
          <w:rFonts w:eastAsia="HiddenHorzOCR"/>
          <w:b/>
          <w:bCs/>
          <w:sz w:val="28"/>
          <w:szCs w:val="28"/>
        </w:rPr>
      </w:pPr>
      <w:r w:rsidRPr="0031118D">
        <w:rPr>
          <w:rFonts w:eastAsia="HiddenHorzOCR"/>
          <w:b/>
          <w:bCs/>
          <w:sz w:val="28"/>
          <w:szCs w:val="28"/>
        </w:rPr>
        <w:t>МЕТОДИКА РАСЧЕТА</w:t>
      </w:r>
    </w:p>
    <w:p w:rsidR="00BD0961" w:rsidRPr="0031118D" w:rsidRDefault="00BD0961" w:rsidP="006A1923">
      <w:pPr>
        <w:jc w:val="center"/>
        <w:rPr>
          <w:b/>
          <w:bCs/>
          <w:sz w:val="28"/>
          <w:szCs w:val="28"/>
        </w:rPr>
      </w:pPr>
      <w:r w:rsidRPr="0031118D">
        <w:rPr>
          <w:rFonts w:eastAsia="HiddenHorzOCR"/>
          <w:b/>
          <w:bCs/>
          <w:sz w:val="28"/>
          <w:szCs w:val="28"/>
        </w:rPr>
        <w:t xml:space="preserve">показателей </w:t>
      </w:r>
      <w:r w:rsidRPr="0031118D">
        <w:rPr>
          <w:b/>
          <w:bCs/>
          <w:sz w:val="28"/>
          <w:szCs w:val="28"/>
        </w:rPr>
        <w:t>уровня развития региональной системы профессионального образования</w:t>
      </w:r>
    </w:p>
    <w:p w:rsidR="00BD0961" w:rsidRPr="0031118D" w:rsidRDefault="00BD0961" w:rsidP="006A1923">
      <w:pPr>
        <w:jc w:val="center"/>
        <w:rPr>
          <w:color w:val="FF0000"/>
          <w:sz w:val="28"/>
          <w:szCs w:val="28"/>
        </w:rPr>
      </w:pPr>
    </w:p>
    <w:tbl>
      <w:tblPr>
        <w:tblW w:w="103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3940"/>
        <w:gridCol w:w="851"/>
        <w:gridCol w:w="4677"/>
      </w:tblGrid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b/>
                <w:bCs/>
                <w:sz w:val="28"/>
                <w:szCs w:val="28"/>
              </w:rPr>
            </w:pPr>
            <w:r w:rsidRPr="0031118D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center"/>
              <w:rPr>
                <w:b/>
                <w:bCs/>
                <w:sz w:val="28"/>
                <w:szCs w:val="28"/>
              </w:rPr>
            </w:pPr>
            <w:r w:rsidRPr="0031118D">
              <w:rPr>
                <w:b/>
                <w:bCs/>
                <w:sz w:val="28"/>
                <w:szCs w:val="28"/>
              </w:rPr>
              <w:t>Показатели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b/>
                <w:bCs/>
                <w:sz w:val="28"/>
                <w:szCs w:val="28"/>
              </w:rPr>
            </w:pPr>
            <w:r w:rsidRPr="0031118D">
              <w:rPr>
                <w:b/>
                <w:bCs/>
                <w:sz w:val="28"/>
                <w:szCs w:val="28"/>
              </w:rPr>
              <w:t>Ед. изм.</w:t>
            </w:r>
          </w:p>
        </w:tc>
        <w:tc>
          <w:tcPr>
            <w:tcW w:w="4677" w:type="dxa"/>
          </w:tcPr>
          <w:p w:rsidR="00BD0961" w:rsidRPr="0031118D" w:rsidRDefault="00BD0961" w:rsidP="00546B73">
            <w:pPr>
              <w:jc w:val="center"/>
              <w:rPr>
                <w:b/>
                <w:bCs/>
                <w:sz w:val="28"/>
                <w:szCs w:val="28"/>
              </w:rPr>
            </w:pPr>
            <w:r w:rsidRPr="0031118D">
              <w:rPr>
                <w:b/>
                <w:bCs/>
                <w:sz w:val="28"/>
                <w:szCs w:val="28"/>
              </w:rPr>
              <w:t>Методика расчета</w:t>
            </w: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А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Б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В</w:t>
            </w:r>
          </w:p>
        </w:tc>
        <w:tc>
          <w:tcPr>
            <w:tcW w:w="4677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Г</w:t>
            </w: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1.1.1.</w:t>
            </w:r>
          </w:p>
        </w:tc>
        <w:tc>
          <w:tcPr>
            <w:tcW w:w="3940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выпускников очной формы обучения по основным образовательным программам профессионального образования, трудоустроившихся не позднее завершения первого года после выпуска, в общей численности выпускников очной формы обучения по основным образовательным программам профессионального образования соответствующего года</w:t>
            </w:r>
            <w:r w:rsidR="00680F32">
              <w:rPr>
                <w:sz w:val="28"/>
                <w:szCs w:val="28"/>
              </w:rPr>
              <w:t xml:space="preserve"> 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rFonts w:eastAsia="HiddenHorzOCR"/>
                <w:sz w:val="28"/>
                <w:szCs w:val="28"/>
              </w:rPr>
              <w:t xml:space="preserve">Отношение численности </w:t>
            </w:r>
            <w:r w:rsidRPr="0031118D">
              <w:rPr>
                <w:sz w:val="28"/>
                <w:szCs w:val="28"/>
              </w:rPr>
              <w:t xml:space="preserve">выпускников очной формы обучения по основным образовательным программам профессионального образования, трудоустроившихся не позднее завершения первого года после выпуска, к общей численности выпускников очной формы обучения по основным образовательным программам профессионального образования соответствующего года, </w:t>
            </w:r>
            <w:r w:rsidRPr="0031118D">
              <w:rPr>
                <w:rFonts w:eastAsia="HiddenHorzOCR"/>
                <w:sz w:val="28"/>
                <w:szCs w:val="28"/>
              </w:rPr>
              <w:t>выраженное в процентах.</w:t>
            </w: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1.1.2.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Удельный вес численности студентов, обучающихся по программам среднего профессионального образования в общей численности студентов, обучающихся по программам профессионального образования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численности приведенного контингента студентов, обучающихся по образовательным программам среднего профессионального образования, к численности приведенного контингента студентов, обучающихся по основным профессиональным образовательным программам, выраженное в процентах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1.1.3.</w:t>
            </w:r>
          </w:p>
        </w:tc>
        <w:tc>
          <w:tcPr>
            <w:tcW w:w="3940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 xml:space="preserve">Удельный вес численности занятого населения в возрасте 25 - 65 лет, прошедшего обучение в профессиональных образовательных организациях и (или) центрах профессиональной квалификации по основным </w:t>
            </w:r>
            <w:r w:rsidRPr="0031118D">
              <w:rPr>
                <w:sz w:val="28"/>
                <w:szCs w:val="28"/>
              </w:rPr>
              <w:lastRenderedPageBreak/>
              <w:t xml:space="preserve">программам профессионального обучения, дополнительным профессиональным программам, в общей численности занятого в экономике региона населения 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4677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 xml:space="preserve">Отношение численности работников, прошедших обучение в профессиональных образовательных организациях и (или) центрах профессиональной квалификации по основным программам профессионального обучения, дополнительным профессиональным </w:t>
            </w:r>
            <w:r w:rsidRPr="0031118D">
              <w:rPr>
                <w:sz w:val="28"/>
                <w:szCs w:val="28"/>
              </w:rPr>
              <w:lastRenderedPageBreak/>
              <w:t>программам, к общей численности занятого в экономике региона населения, выраженное в процентах</w:t>
            </w: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lastRenderedPageBreak/>
              <w:t>1.1.4.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студентов профессиональных образовательных организаций, принявших участие в региональных, межрегиональных, национальных и международных олимпиадах и конкурсах профессионального мастерства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численности студентов профессиональных образовательных организаций, принявших участие в региональных, межрегиональных, национальных и международных олимпиадах и конкурсах профессионального мастерства, к численности приведенного контингента студентов профессиональных образовательных организаций, выраженное в процентах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1.1.5.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студентов, успешно прошедших независимую сертификацию квалификации в процессе обучения по программам среднего профессионального образования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численности студентов профессиональных образовательных организаций, получивших подтверждение независимого компетентного органа о соответствии полученной квалификации требованиям, установленным профессиональным стандартом, к численности приведенного контингента студентов профессиональных образовательных организаций, выраженное в процентах</w:t>
            </w:r>
          </w:p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1.2.1.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студентов профессиональных образовательных организаций, обучающихся с использованием интерактивных форм обучения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 xml:space="preserve">Отношение численности студентов профессиональных образовательных организаций, обучающихся по программам среднего профессионального образования, доля интерактивных форм обучения (тренажеров, симуляторов, виртуальных лабораторий, совместной исследовательской </w:t>
            </w:r>
            <w:r w:rsidRPr="0031118D">
              <w:rPr>
                <w:sz w:val="28"/>
                <w:szCs w:val="28"/>
              </w:rPr>
              <w:lastRenderedPageBreak/>
              <w:t>деятельности, кейс-стади, игровых и проектных форм обучения и др.) в которых составляет не менее 30% учебного времени, к численности приведенного контингента студентов профессиональных образовательных организаций, выраженное в процентах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lastRenderedPageBreak/>
              <w:t>1.2.2.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студентов профессиональных образовательных организаций, обучающихся в условиях кредитно-модульной организации учебного процесса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численности студентов профессиональных образовательных организаций, обучающихся в условиях реализуемой модели организации учебного процесса, основанной на объединении модульных технологий обучения, зачетных кредитов (зачетных образовательных единиц) и современных IT-решений, поддерживающих индивидуальные образовательные траектории, к численности приведенного контингента студентов профессиональных образовательных организаций, выраженное в процентах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1.2.3.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площади учебно-лабораторных помещений профессиональных образовательных организаций, на которой обеспечивается беспроводной доступ к образовательному контенту (</w:t>
            </w:r>
            <w:r w:rsidRPr="0031118D">
              <w:rPr>
                <w:sz w:val="28"/>
                <w:szCs w:val="28"/>
                <w:lang w:val="en-US"/>
              </w:rPr>
              <w:t>Wi</w:t>
            </w:r>
            <w:r w:rsidRPr="0031118D">
              <w:rPr>
                <w:sz w:val="28"/>
                <w:szCs w:val="28"/>
              </w:rPr>
              <w:t>-</w:t>
            </w:r>
            <w:r w:rsidRPr="0031118D">
              <w:rPr>
                <w:sz w:val="28"/>
                <w:szCs w:val="28"/>
                <w:lang w:val="en-US"/>
              </w:rPr>
              <w:t>Fi</w:t>
            </w:r>
            <w:r w:rsidRPr="0031118D">
              <w:rPr>
                <w:sz w:val="28"/>
                <w:szCs w:val="28"/>
              </w:rPr>
              <w:t>)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площади учебно-лабораторных помещений профессиональных образовательных организаций, на которой обеспечивается беспроводной доступ к образовательному контенту (</w:t>
            </w:r>
            <w:r w:rsidRPr="0031118D">
              <w:rPr>
                <w:sz w:val="28"/>
                <w:szCs w:val="28"/>
                <w:lang w:val="en-US"/>
              </w:rPr>
              <w:t>Wi</w:t>
            </w:r>
            <w:r w:rsidRPr="0031118D">
              <w:rPr>
                <w:sz w:val="28"/>
                <w:szCs w:val="28"/>
              </w:rPr>
              <w:t>-</w:t>
            </w:r>
            <w:r w:rsidRPr="0031118D">
              <w:rPr>
                <w:sz w:val="28"/>
                <w:szCs w:val="28"/>
                <w:lang w:val="en-US"/>
              </w:rPr>
              <w:t>Fi</w:t>
            </w:r>
            <w:r w:rsidRPr="0031118D">
              <w:rPr>
                <w:sz w:val="28"/>
                <w:szCs w:val="28"/>
              </w:rPr>
              <w:t>) к общей площади учебно-лабораторных помещений профессиональных образовательных организаций, выраженное в процентах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1.2.4.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 xml:space="preserve">Доля студентов, обучающихся по образовательным программам среднего профессионального образования, основным </w:t>
            </w:r>
            <w:r w:rsidRPr="0031118D">
              <w:rPr>
                <w:sz w:val="28"/>
                <w:szCs w:val="28"/>
              </w:rPr>
              <w:lastRenderedPageBreak/>
              <w:t>программам профессионального обучения и дополнительным профессиональным программам с использованием сетевых форм реализации образовательных программ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 xml:space="preserve">Отношение приведенной численности студентов, обучающихся по образовательным программам среднего профессионального образования, </w:t>
            </w:r>
            <w:r w:rsidRPr="0031118D">
              <w:rPr>
                <w:sz w:val="28"/>
                <w:szCs w:val="28"/>
              </w:rPr>
              <w:lastRenderedPageBreak/>
              <w:t>основным программам профессионального обучения и дополнительным профессиональным программам с реализацией не менее 15% аудиторной учебной нагрузки на базе других организаций, осуществляющих образовательную деятельность, к приведенной численности студентов, обучающихся по образовательным программам среднего профессионального образования, основным программам профессионального обучения и дополнительным профессиональным программам, выраженное в процентах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lastRenderedPageBreak/>
              <w:t>1.2.5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студентов, обучающихся по образовательным программам среднего профессионального образования, основным программам профессионального обучения и дополнительным профессиональным программам с применением электронного обучения и дистанционных образовательных технологий, %</w:t>
            </w:r>
          </w:p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приведенной численности студентов, обучающихся по образовательным программам среднего профессионального образования, основным программам профессионального обучения и дополнительным профессиональным программам с реализацией не менее 20% аудиторной учебной нагрузки и не менее 50% внеаудиторной (самостоятельной) учебной работы с применением электронного обучения и дистанционных образовательных технологий, к приведенной численности студентов, обучающихся по образовательным программам среднего профессионального образования, основным программам профессионального обучения и дополнительным профессиональным программам, выраженное в процентах</w:t>
            </w:r>
          </w:p>
          <w:p w:rsidR="00680F32" w:rsidRDefault="00680F32" w:rsidP="00546B73">
            <w:pPr>
              <w:jc w:val="both"/>
              <w:rPr>
                <w:sz w:val="28"/>
                <w:szCs w:val="28"/>
              </w:rPr>
            </w:pP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lastRenderedPageBreak/>
              <w:t>1.2.6.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студентов, обучающихся по программам среднего профессионального образования в режиме дуального обучения</w:t>
            </w:r>
          </w:p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численности студентов, обучающихся по программам среднего профессионального образования в профессиональных образовательных организациях:</w:t>
            </w:r>
          </w:p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- заключивших договора о целевом обучении,</w:t>
            </w:r>
          </w:p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 xml:space="preserve">- в учебном плане которых доля времени, проводимого обучающимся на предприятиях (организациях), ресурсных центрах, в учебных центрах профессиональных квалификаций, составляет не менее 50%, </w:t>
            </w:r>
          </w:p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и завершающих обучение независимой сертификацией квалификаций,</w:t>
            </w:r>
          </w:p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 xml:space="preserve">к численности приведенного контингента студентов профессиональных образовательных организаций, выраженное в процентах 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1.2.7.</w:t>
            </w:r>
          </w:p>
        </w:tc>
        <w:tc>
          <w:tcPr>
            <w:tcW w:w="3940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студентов профессиональных образовательных организаций, прошедших процедуры независимой оценки общепрофессиональных компетенций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численности студентов профессиональных образовательных организаций, прошедших независимую оценку индивидуальных образовательных достижений по дисциплинам общепрофессионального цикла, к численности приведенного контингента студентов профессиональных образовательных организаций, выраженное в процентах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 w:rsidTr="00680F32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1.3.1.</w:t>
            </w:r>
          </w:p>
        </w:tc>
        <w:tc>
          <w:tcPr>
            <w:tcW w:w="3940" w:type="dxa"/>
          </w:tcPr>
          <w:p w:rsidR="00BD0961" w:rsidRPr="0031118D" w:rsidRDefault="00BD0961" w:rsidP="00680F32">
            <w:pPr>
              <w:ind w:right="142"/>
              <w:jc w:val="both"/>
              <w:rPr>
                <w:b/>
                <w:bCs/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средств предприятий (организаций) в общем объеме доходов профессиональных образовательных организаций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Pr="0031118D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объема доходов профессиональных образовательных организаций, источником которых являются средства предприятий (организаций), к общему объему доходов профессиональных образовательных организаций, выраженное в процентах</w:t>
            </w:r>
          </w:p>
        </w:tc>
      </w:tr>
      <w:tr w:rsidR="00BD0961" w:rsidRPr="0031118D" w:rsidTr="00680F32">
        <w:tc>
          <w:tcPr>
            <w:tcW w:w="846" w:type="dxa"/>
          </w:tcPr>
          <w:p w:rsidR="00BD0961" w:rsidRPr="0031118D" w:rsidRDefault="00BD0961" w:rsidP="00546B73">
            <w:pPr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lastRenderedPageBreak/>
              <w:t>1.3.2.</w:t>
            </w:r>
          </w:p>
        </w:tc>
        <w:tc>
          <w:tcPr>
            <w:tcW w:w="3940" w:type="dxa"/>
          </w:tcPr>
          <w:p w:rsidR="00BD0961" w:rsidRPr="0031118D" w:rsidRDefault="00BD0961" w:rsidP="00680F32">
            <w:pPr>
              <w:ind w:right="142"/>
              <w:jc w:val="both"/>
              <w:rPr>
                <w:color w:val="008000"/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Доля студентов профессиональных образовательных организаций, проходящих подготовку на основе договоров целевого обучения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численности студентов профессиональных образовательных организаций, проходящих подготовку на основе договоров целевого обучения, к численности приведенного контингента студентов профессиональных образовательных организаций, выраженное в процентах</w:t>
            </w:r>
          </w:p>
          <w:p w:rsidR="00680F32" w:rsidRPr="0031118D" w:rsidRDefault="00680F32" w:rsidP="00546B73">
            <w:pPr>
              <w:jc w:val="both"/>
              <w:rPr>
                <w:sz w:val="28"/>
                <w:szCs w:val="28"/>
              </w:rPr>
            </w:pPr>
          </w:p>
        </w:tc>
      </w:tr>
      <w:tr w:rsidR="00BD0961" w:rsidRPr="0031118D" w:rsidTr="00680F32">
        <w:tc>
          <w:tcPr>
            <w:tcW w:w="846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1.3.3.</w:t>
            </w:r>
          </w:p>
        </w:tc>
        <w:tc>
          <w:tcPr>
            <w:tcW w:w="3940" w:type="dxa"/>
          </w:tcPr>
          <w:p w:rsidR="00BD0961" w:rsidRPr="0031118D" w:rsidRDefault="00BD0961" w:rsidP="00680F32">
            <w:pPr>
              <w:ind w:right="142"/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Соотношение расходов предприятий на материальное стимулирование работников предприятий, участвующих в образовате</w:t>
            </w:r>
            <w:bookmarkStart w:id="0" w:name="_GoBack"/>
            <w:bookmarkEnd w:id="0"/>
            <w:r w:rsidRPr="0031118D">
              <w:rPr>
                <w:sz w:val="28"/>
                <w:szCs w:val="28"/>
              </w:rPr>
              <w:t>льном процессе, к фонду оплаты труда педагогических работников региональной системы профессионального образования</w:t>
            </w:r>
          </w:p>
        </w:tc>
        <w:tc>
          <w:tcPr>
            <w:tcW w:w="851" w:type="dxa"/>
          </w:tcPr>
          <w:p w:rsidR="00BD0961" w:rsidRPr="0031118D" w:rsidRDefault="00BD0961" w:rsidP="00546B73">
            <w:pPr>
              <w:jc w:val="center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%</w:t>
            </w:r>
          </w:p>
        </w:tc>
        <w:tc>
          <w:tcPr>
            <w:tcW w:w="4677" w:type="dxa"/>
          </w:tcPr>
          <w:p w:rsidR="00BD0961" w:rsidRDefault="00BD0961" w:rsidP="00546B73">
            <w:pPr>
              <w:jc w:val="both"/>
              <w:rPr>
                <w:sz w:val="28"/>
                <w:szCs w:val="28"/>
              </w:rPr>
            </w:pPr>
            <w:r w:rsidRPr="0031118D">
              <w:rPr>
                <w:sz w:val="28"/>
                <w:szCs w:val="28"/>
              </w:rPr>
              <w:t>Отношение суммарного объема расходов предприятий (организаций) на доплаты и надбавки работникам предприятий, участвующих в образовательном процессе профессиональных образовательных организаций региональной системы профессионального образования, к фонду оплаты труда педагогических работников региональной системы профессионального образования, выраженное в процентах</w:t>
            </w:r>
          </w:p>
          <w:p w:rsidR="00680F32" w:rsidRPr="0031118D" w:rsidRDefault="00680F32" w:rsidP="00546B73">
            <w:pPr>
              <w:jc w:val="both"/>
              <w:rPr>
                <w:color w:val="0000FF"/>
                <w:sz w:val="28"/>
                <w:szCs w:val="28"/>
              </w:rPr>
            </w:pPr>
          </w:p>
        </w:tc>
      </w:tr>
    </w:tbl>
    <w:p w:rsidR="00BD0961" w:rsidRPr="0031118D" w:rsidRDefault="00BD0961" w:rsidP="006A1923">
      <w:pPr>
        <w:jc w:val="center"/>
        <w:rPr>
          <w:sz w:val="28"/>
          <w:szCs w:val="28"/>
        </w:rPr>
      </w:pPr>
    </w:p>
    <w:p w:rsidR="00BD0961" w:rsidRPr="0031118D" w:rsidRDefault="00BD0961" w:rsidP="006A1923">
      <w:pPr>
        <w:ind w:firstLine="708"/>
        <w:jc w:val="both"/>
        <w:rPr>
          <w:sz w:val="28"/>
          <w:szCs w:val="28"/>
        </w:rPr>
      </w:pPr>
    </w:p>
    <w:p w:rsidR="00BD0961" w:rsidRPr="0031118D" w:rsidRDefault="00BD0961" w:rsidP="006A1923">
      <w:pPr>
        <w:ind w:left="-567"/>
        <w:rPr>
          <w:sz w:val="28"/>
          <w:szCs w:val="28"/>
        </w:rPr>
      </w:pPr>
    </w:p>
    <w:p w:rsidR="00BD0961" w:rsidRPr="0031118D" w:rsidRDefault="00BD0961" w:rsidP="006A1923">
      <w:pPr>
        <w:shd w:val="clear" w:color="auto" w:fill="FFFFFF"/>
        <w:ind w:left="43" w:right="14" w:firstLine="686"/>
        <w:jc w:val="right"/>
        <w:rPr>
          <w:sz w:val="28"/>
          <w:szCs w:val="28"/>
        </w:rPr>
      </w:pPr>
    </w:p>
    <w:p w:rsidR="00BD0961" w:rsidRPr="0031118D" w:rsidRDefault="00BD0961" w:rsidP="006A1923">
      <w:pPr>
        <w:shd w:val="clear" w:color="auto" w:fill="FFFFFF"/>
        <w:ind w:left="43" w:right="14" w:firstLine="686"/>
        <w:jc w:val="both"/>
        <w:rPr>
          <w:sz w:val="28"/>
          <w:szCs w:val="28"/>
        </w:rPr>
      </w:pPr>
    </w:p>
    <w:p w:rsidR="00BD0961" w:rsidRPr="001A4540" w:rsidRDefault="00BD0961" w:rsidP="006A1923">
      <w:pPr>
        <w:shd w:val="clear" w:color="auto" w:fill="FFFFFF"/>
        <w:ind w:left="43" w:right="14" w:firstLine="686"/>
        <w:jc w:val="both"/>
        <w:rPr>
          <w:sz w:val="28"/>
          <w:szCs w:val="28"/>
        </w:rPr>
      </w:pPr>
    </w:p>
    <w:p w:rsidR="00BD0961" w:rsidRDefault="00BD0961"/>
    <w:sectPr w:rsidR="00BD0961" w:rsidSect="00F63EEA">
      <w:headerReference w:type="default" r:id="rId7"/>
      <w:pgSz w:w="11909" w:h="16834"/>
      <w:pgMar w:top="1134" w:right="567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6BE" w:rsidRDefault="006016BE" w:rsidP="005651D3">
      <w:r>
        <w:separator/>
      </w:r>
    </w:p>
  </w:endnote>
  <w:endnote w:type="continuationSeparator" w:id="0">
    <w:p w:rsidR="006016BE" w:rsidRDefault="006016BE" w:rsidP="00565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6BE" w:rsidRDefault="006016BE" w:rsidP="005651D3">
      <w:r>
        <w:separator/>
      </w:r>
    </w:p>
  </w:footnote>
  <w:footnote w:type="continuationSeparator" w:id="0">
    <w:p w:rsidR="006016BE" w:rsidRDefault="006016BE" w:rsidP="005651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961" w:rsidRDefault="006016B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80F32">
      <w:rPr>
        <w:noProof/>
      </w:rPr>
      <w:t>4</w:t>
    </w:r>
    <w:r>
      <w:rPr>
        <w:noProof/>
      </w:rPr>
      <w:fldChar w:fldCharType="end"/>
    </w:r>
  </w:p>
  <w:p w:rsidR="00BD0961" w:rsidRDefault="00BD096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923"/>
    <w:rsid w:val="00093703"/>
    <w:rsid w:val="001A4540"/>
    <w:rsid w:val="0031118D"/>
    <w:rsid w:val="00546B73"/>
    <w:rsid w:val="005651D3"/>
    <w:rsid w:val="005A6AE5"/>
    <w:rsid w:val="006016BE"/>
    <w:rsid w:val="00615D43"/>
    <w:rsid w:val="00680F32"/>
    <w:rsid w:val="006A1923"/>
    <w:rsid w:val="00900CFA"/>
    <w:rsid w:val="00A17886"/>
    <w:rsid w:val="00BD0961"/>
    <w:rsid w:val="00BD6C33"/>
    <w:rsid w:val="00D025DC"/>
    <w:rsid w:val="00D528D9"/>
    <w:rsid w:val="00E1593D"/>
    <w:rsid w:val="00F2709B"/>
    <w:rsid w:val="00F63EEA"/>
    <w:rsid w:val="00F9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92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A19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6A1923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1346</Words>
  <Characters>7676</Characters>
  <Application>Microsoft Office Word</Application>
  <DocSecurity>0</DocSecurity>
  <Lines>63</Lines>
  <Paragraphs>18</Paragraphs>
  <ScaleCrop>false</ScaleCrop>
  <Company>МОН</Company>
  <LinksUpToDate>false</LinksUpToDate>
  <CharactersWithSpaces>9004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Алимова Татьяна Михайловна</cp:lastModifiedBy>
  <cp:revision>6</cp:revision>
  <cp:lastPrinted>2014-03-27T14:00:00Z</cp:lastPrinted>
  <dcterms:created xsi:type="dcterms:W3CDTF">2014-03-25T18:02:00Z</dcterms:created>
  <dcterms:modified xsi:type="dcterms:W3CDTF">2014-04-03T15:44:00Z</dcterms:modified>
</cp:coreProperties>
</file>